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31698">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4701793C">
      <w:pPr>
        <w:spacing w:line="540" w:lineRule="exact"/>
        <w:jc w:val="center"/>
        <w:rPr>
          <w:rFonts w:ascii="方正小标宋_GBK" w:hAnsi="华文中宋" w:eastAsia="方正小标宋_GBK" w:cs="宋体"/>
          <w:b/>
          <w:kern w:val="0"/>
          <w:sz w:val="48"/>
          <w:szCs w:val="48"/>
        </w:rPr>
      </w:pPr>
    </w:p>
    <w:p w14:paraId="7C377512">
      <w:pPr>
        <w:spacing w:line="540" w:lineRule="exact"/>
        <w:jc w:val="center"/>
        <w:rPr>
          <w:rFonts w:ascii="方正小标宋_GBK" w:hAnsi="华文中宋" w:eastAsia="方正小标宋_GBK" w:cs="宋体"/>
          <w:b/>
          <w:kern w:val="0"/>
          <w:sz w:val="48"/>
          <w:szCs w:val="48"/>
        </w:rPr>
      </w:pPr>
    </w:p>
    <w:p w14:paraId="65F9F9E6">
      <w:pPr>
        <w:spacing w:line="540" w:lineRule="exact"/>
        <w:jc w:val="center"/>
        <w:rPr>
          <w:rFonts w:ascii="方正小标宋_GBK" w:hAnsi="华文中宋" w:eastAsia="方正小标宋_GBK" w:cs="宋体"/>
          <w:b/>
          <w:kern w:val="0"/>
          <w:sz w:val="48"/>
          <w:szCs w:val="48"/>
        </w:rPr>
      </w:pPr>
    </w:p>
    <w:p w14:paraId="515AD91B">
      <w:pPr>
        <w:spacing w:line="540" w:lineRule="exact"/>
        <w:jc w:val="center"/>
        <w:rPr>
          <w:rFonts w:ascii="方正小标宋_GBK" w:hAnsi="华文中宋" w:eastAsia="方正小标宋_GBK" w:cs="宋体"/>
          <w:b/>
          <w:kern w:val="0"/>
          <w:sz w:val="48"/>
          <w:szCs w:val="48"/>
        </w:rPr>
      </w:pPr>
    </w:p>
    <w:p w14:paraId="4079471A">
      <w:pPr>
        <w:spacing w:line="540" w:lineRule="exact"/>
        <w:jc w:val="center"/>
        <w:rPr>
          <w:rFonts w:ascii="方正小标宋_GBK" w:hAnsi="华文中宋" w:eastAsia="方正小标宋_GBK" w:cs="宋体"/>
          <w:b/>
          <w:kern w:val="0"/>
          <w:sz w:val="48"/>
          <w:szCs w:val="48"/>
        </w:rPr>
      </w:pPr>
    </w:p>
    <w:p w14:paraId="677C53DF">
      <w:pPr>
        <w:spacing w:line="540" w:lineRule="exact"/>
        <w:jc w:val="center"/>
        <w:rPr>
          <w:rFonts w:ascii="方正小标宋_GBK" w:hAnsi="华文中宋" w:eastAsia="方正小标宋_GBK" w:cs="宋体"/>
          <w:b/>
          <w:kern w:val="0"/>
          <w:sz w:val="48"/>
          <w:szCs w:val="48"/>
        </w:rPr>
      </w:pPr>
    </w:p>
    <w:p w14:paraId="06389C7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512EFBC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22398F5C">
      <w:pPr>
        <w:spacing w:line="540" w:lineRule="exact"/>
        <w:jc w:val="center"/>
        <w:rPr>
          <w:rFonts w:ascii="华文中宋" w:hAnsi="华文中宋" w:eastAsia="华文中宋" w:cs="宋体"/>
          <w:b/>
          <w:kern w:val="0"/>
          <w:sz w:val="52"/>
          <w:szCs w:val="52"/>
        </w:rPr>
      </w:pPr>
    </w:p>
    <w:p w14:paraId="4FAF7F53">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5E56B1C9">
      <w:pPr>
        <w:spacing w:line="700" w:lineRule="exact"/>
        <w:jc w:val="left"/>
        <w:rPr>
          <w:rFonts w:hint="eastAsia" w:hAnsi="宋体" w:eastAsia="仿宋_GB2312" w:cs="宋体"/>
          <w:kern w:val="0"/>
          <w:sz w:val="36"/>
          <w:szCs w:val="36"/>
        </w:rPr>
      </w:pPr>
    </w:p>
    <w:p w14:paraId="2E631AAE">
      <w:pPr>
        <w:spacing w:line="700" w:lineRule="exact"/>
        <w:jc w:val="left"/>
        <w:rPr>
          <w:rFonts w:hint="eastAsia" w:hAnsi="宋体" w:eastAsia="仿宋_GB2312" w:cs="宋体"/>
          <w:kern w:val="0"/>
          <w:sz w:val="36"/>
          <w:szCs w:val="36"/>
        </w:rPr>
      </w:pPr>
    </w:p>
    <w:p w14:paraId="63361BC7">
      <w:pPr>
        <w:spacing w:line="700" w:lineRule="exact"/>
        <w:jc w:val="left"/>
        <w:rPr>
          <w:rFonts w:hint="eastAsia" w:hAnsi="宋体" w:eastAsia="仿宋_GB2312" w:cs="宋体"/>
          <w:kern w:val="0"/>
          <w:sz w:val="36"/>
          <w:szCs w:val="36"/>
          <w:lang w:eastAsia="zh-CN"/>
        </w:rPr>
      </w:pPr>
    </w:p>
    <w:p w14:paraId="0EAF5DF3">
      <w:pPr>
        <w:spacing w:line="700" w:lineRule="exact"/>
        <w:jc w:val="left"/>
        <w:rPr>
          <w:rFonts w:hint="eastAsia" w:hAnsi="宋体" w:eastAsia="仿宋_GB2312" w:cs="宋体"/>
          <w:kern w:val="0"/>
          <w:sz w:val="36"/>
          <w:szCs w:val="36"/>
          <w:lang w:eastAsia="zh-CN"/>
        </w:rPr>
      </w:pPr>
    </w:p>
    <w:p w14:paraId="7DB4CB96">
      <w:pPr>
        <w:spacing w:line="700" w:lineRule="exact"/>
        <w:jc w:val="left"/>
        <w:rPr>
          <w:rFonts w:hint="eastAsia" w:hAnsi="宋体" w:eastAsia="仿宋_GB2312" w:cs="宋体"/>
          <w:kern w:val="0"/>
          <w:sz w:val="36"/>
          <w:szCs w:val="36"/>
          <w:lang w:eastAsia="zh-CN"/>
        </w:rPr>
      </w:pPr>
    </w:p>
    <w:p w14:paraId="2F025E2F">
      <w:pPr>
        <w:spacing w:line="700" w:lineRule="exact"/>
        <w:jc w:val="left"/>
        <w:rPr>
          <w:rFonts w:hint="eastAsia" w:hAnsi="宋体" w:eastAsia="仿宋_GB2312" w:cs="宋体"/>
          <w:kern w:val="0"/>
          <w:sz w:val="36"/>
          <w:szCs w:val="36"/>
          <w:lang w:eastAsia="zh-CN"/>
        </w:rPr>
      </w:pPr>
    </w:p>
    <w:p w14:paraId="6E005A32">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克州环境监测站</w:t>
      </w:r>
    </w:p>
    <w:p w14:paraId="34DF2EB0">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13C1326F">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2F7D365C">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485822B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依据《环境保护法》，负责全州一市三县环境质量方面的环境监测业务，根据有关的环境保护法律、法规、规章、制度等，负责全州境内的建设项目环评《报告书》及竣工验收监测报告；负责全州重点污染源的监测工作；负责全州境内发生的突发性污染事件的应急监测及上报工作；负责全州境内的生态遥感监测及地面调查验证工作；指导各县、市监测部门的具体业务工作；承办上级业务部门交办的其他业务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该项目由克州环境监测站单位实施，无下属预算单位，下设7个科室，分别是：水室、大气室、污染源室、办公室、质控室、在线监测室、生态室。</w:t>
      </w:r>
      <w:r>
        <w:rPr>
          <w:rFonts w:hint="eastAsia" w:ascii="仿宋_GB2312" w:hAnsi="宋体" w:eastAsia="仿宋_GB2312"/>
          <w:b w:val="0"/>
          <w:bCs/>
          <w:sz w:val="32"/>
          <w:szCs w:val="32"/>
        </w:rPr>
        <w:cr/>
      </w:r>
      <w:r>
        <w:rPr>
          <w:rFonts w:hint="eastAsia" w:ascii="仿宋_GB2312" w:hAnsi="宋体" w:eastAsia="仿宋_GB2312"/>
          <w:b w:val="0"/>
          <w:bCs/>
          <w:sz w:val="32"/>
          <w:szCs w:val="32"/>
        </w:rPr>
        <w:t>　　编制人数30人，其中：事业编制30人。事业在职30人，退休人员9人。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val="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（1）做好全州各县（市）城市空气质量监测</w:t>
      </w:r>
      <w:r>
        <w:rPr>
          <w:rFonts w:hint="eastAsia" w:ascii="仿宋_GB2312" w:hAnsi="宋体" w:eastAsia="仿宋_GB2312"/>
          <w:b w:val="0"/>
          <w:bCs/>
          <w:sz w:val="32"/>
          <w:szCs w:val="32"/>
        </w:rPr>
        <w:cr/>
      </w:r>
      <w:r>
        <w:rPr>
          <w:rFonts w:hint="eastAsia" w:ascii="仿宋_GB2312" w:hAnsi="宋体" w:eastAsia="仿宋_GB2312"/>
          <w:b w:val="0"/>
          <w:bCs/>
          <w:sz w:val="32"/>
          <w:szCs w:val="32"/>
        </w:rPr>
        <w:t>　　①全力做好国控空气自动监测站后勤保障及数据分析工作。严格按照国家总站、自治区生态环境厅的工作要求，积极配合第三方运维机构做好阿图什市2个国控空气站、各县3个区控空气站、阿图什市1个环境空气挥发性有机物区控点仪器设备维修保障工作，及时与第三方运维人员进行沟通，加强对二氧化硫（SO2）、二氧化氮（NO2）、一氧化碳（CO）、臭氧（O3）、可吸入颗粒物（PM10）、细颗粒物（PM2.5）等六项指标数据的采集与分析工作，为阿图什市大气污染防治工作提供数据支持。根据统计，2021年度，阿图什市城市空气质量监测天数365天(有效监测天数364天)，其中达标（优良）天数250天，优良天数比例为68.7%（2020年69.8%）；受沙尘影响121天（2020年86天）；阿克陶县城市空气质量优良天数178天（全年无效数据1天），优良天数比例为48.9%（2020年度59.3%）；阿合奇县城市空气质量优良天数307天（全年无效数据7天），优良天数比例为85.7%（2020年度80.9%）；乌恰县城市空气质量优良天数270天（全年无效数据10天），优良天数比例为76%（2020年度73.2%）。完成了自治区交给的目标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②持续做好区控点位降水、降尘监测工作。对我站1个降水点位开展了降水监测，</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大气降水中未出现酸雨现象。降尘监测点位8个，时间节点数据汇总、审核后上报。</w:t>
      </w:r>
      <w:r>
        <w:rPr>
          <w:rFonts w:hint="eastAsia" w:ascii="仿宋_GB2312" w:hAnsi="宋体" w:eastAsia="仿宋_GB2312"/>
          <w:b w:val="0"/>
          <w:bCs/>
          <w:sz w:val="32"/>
          <w:szCs w:val="32"/>
        </w:rPr>
        <w:cr/>
      </w:r>
      <w:r>
        <w:rPr>
          <w:rFonts w:hint="eastAsia" w:ascii="仿宋_GB2312" w:hAnsi="宋体" w:eastAsia="仿宋_GB2312"/>
          <w:b w:val="0"/>
          <w:bCs/>
          <w:sz w:val="32"/>
          <w:szCs w:val="32"/>
        </w:rPr>
        <w:t>　　③完成全州3个自治区级工业园区的空气自动站安装建设工作。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（2）落实水环境质量监测</w:t>
      </w:r>
      <w:r>
        <w:rPr>
          <w:rFonts w:hint="eastAsia" w:ascii="仿宋_GB2312" w:hAnsi="宋体" w:eastAsia="仿宋_GB2312"/>
          <w:b w:val="0"/>
          <w:bCs/>
          <w:sz w:val="32"/>
          <w:szCs w:val="32"/>
        </w:rPr>
        <w:cr/>
      </w:r>
      <w:r>
        <w:rPr>
          <w:rFonts w:hint="eastAsia" w:ascii="仿宋_GB2312" w:hAnsi="宋体" w:eastAsia="仿宋_GB2312"/>
          <w:b w:val="0"/>
          <w:bCs/>
          <w:sz w:val="32"/>
          <w:szCs w:val="32"/>
        </w:rPr>
        <w:t>　　①认真开展地表水环境质量监测工作。一是认真做好国控断面监测工作。每月对盖孜河盖孜断面、克孜河斯木哈纳断面、克孜河卡拉贝利断面、托什干河（哈拉布拉克和沙里桂兰克）等5个国控断面34个指标进行水质监测，水质均达到规定的II类标准，达标率100%。二是认真做好区控断面监测工作。按要求对布谷孜河（阿俄水文站和州农业中心）两个断面、恰克马克河（大闸口和塔古提道班）两个断面、克孜河加斯桥断面、托卡依水库和卡拉贝利水库三个断面等8个区控断面34个指标进行按3次/年水质监测。2021年，水质均达到规定的II类标准，达标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②认真开展集中式饮用水源地监测工作。一是持续做好阿图什市城市集中式饮用水源地水质监测工作。每月对阿图什市城区（地下水）39个指标、全年进行一次全项（93项）水质监测分析；每季度对乌恰县地表水（湖库）饮用水源地67项指标、全年进行一次全项（109项）水质监测；每半年度对阿克陶县、阿合奇县地下水饮用水源地39项指标、全年进行一次全项（93项）水质监测分析等例行监测工作；全年全州各饮用水源地均达标，达标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（3）完成声环境监测任务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①按照自治区生态环境厅工作部署要求，全面完成我州各县市县域声环境功能区的划分和调整工作。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②认真开展阿图什市声环境质量监测工作。全面做好阿图什市城市声环境质量监测工作，全年先后对城市区域噪声、道路交通干线噪声、功能区等监测点位开展了专项声环境质量监测。</w:t>
      </w:r>
      <w:r>
        <w:rPr>
          <w:rFonts w:hint="eastAsia" w:ascii="仿宋_GB2312" w:hAnsi="宋体" w:eastAsia="仿宋_GB2312"/>
          <w:b w:val="0"/>
          <w:bCs/>
          <w:sz w:val="32"/>
          <w:szCs w:val="32"/>
        </w:rPr>
        <w:cr/>
      </w:r>
      <w:r>
        <w:rPr>
          <w:rFonts w:hint="eastAsia" w:ascii="仿宋_GB2312" w:hAnsi="宋体" w:eastAsia="仿宋_GB2312"/>
          <w:b w:val="0"/>
          <w:bCs/>
          <w:sz w:val="32"/>
          <w:szCs w:val="32"/>
        </w:rPr>
        <w:t>　　（4）污染源执法性监测任务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①认真开展全州7家重点排污单位执法性监测工作。一是扎实开展重点排污单位执法性监测。按计划定期对正常生产的国控区控重点排污单位进行了执法性监测，全州重点排污单位排放各项指标达标率为100%。二是认真进行在线监测仪器比对监测。按要求对全州已安装在线监测系统并通过验收的重点排污单位开展了比对监测。为自治州重点污染源在线监测体系建设和环境信息建设提供了科学有效的依据。三是严格按照“测管协同”联动工作机制，形成监察监测合力，积极开展执法监测工作，为查处环境违法企业提供技术支持。</w:t>
      </w:r>
      <w:r>
        <w:rPr>
          <w:rFonts w:hint="eastAsia" w:ascii="仿宋_GB2312" w:hAnsi="宋体" w:eastAsia="仿宋_GB2312"/>
          <w:b w:val="0"/>
          <w:bCs/>
          <w:sz w:val="32"/>
          <w:szCs w:val="32"/>
        </w:rPr>
        <w:cr/>
      </w:r>
      <w:r>
        <w:rPr>
          <w:rFonts w:hint="eastAsia" w:ascii="仿宋_GB2312" w:hAnsi="宋体" w:eastAsia="仿宋_GB2312"/>
          <w:b w:val="0"/>
          <w:bCs/>
          <w:sz w:val="32"/>
          <w:szCs w:val="32"/>
        </w:rPr>
        <w:t>　　②按照《2021年新疆维吾尔自治区生态环境监测方案》要求，克州生态环境局制定了《2021年克州排污单位自行监测专项检查方案》，按照检查方案的工作部署，我站组织完成已核发排污许可证的企业培训工作。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（5）完成生态环境监测</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全国农村环境质量试点监测工作方案》《全国农村环境质量试点监测技术方案》的要求，在阿图什市、阿合奇县、阿克陶县和乌恰县的重点生态功能区县域考的监测资料、4个农村环境质量、3个农村千吨万人水源地、3个农田灌溉水质、4个农村日处理能力20吨及以上的生活污水处理设施等监测数据汇总、审核上报等。按照《地下水质量标准》（GB/T14848 -2017）评价中Ⅲ类标准，2021年度农村千吨万人饮用水水源地均达标。</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地表水环境质量标准》（GB3838－2002）评价，2021年度村庄地表饮用水水源地均符合国家Ⅱ类标准，2021年村庄土壤监测点位以村庄为点位布设单元。在基本农田、园地（果园、林地等）、饮用水源地周边各布设1个监测点位，共15个点位。监测必测项目为土壤pH、阳离子交换量、镉、汞、砷、铅、铬等元素的全量。</w:t>
      </w:r>
      <w:r>
        <w:rPr>
          <w:rFonts w:hint="eastAsia" w:ascii="仿宋_GB2312" w:hAnsi="宋体" w:eastAsia="仿宋_GB2312"/>
          <w:b w:val="0"/>
          <w:bCs/>
          <w:sz w:val="32"/>
          <w:szCs w:val="32"/>
        </w:rPr>
        <w:cr/>
      </w:r>
      <w:r>
        <w:rPr>
          <w:rFonts w:hint="eastAsia" w:ascii="仿宋_GB2312" w:hAnsi="宋体" w:eastAsia="仿宋_GB2312"/>
          <w:b w:val="0"/>
          <w:bCs/>
          <w:sz w:val="32"/>
          <w:szCs w:val="32"/>
        </w:rPr>
        <w:t>　　各县市农村土壤监测数据中，4个村庄的土壤均符合《土壤环境质量农用地土壤污染风险管控标准》（GB15618 -2018）中农用地土壤污染风险管制值，符合农用地土壤污染风险筛选值的占100%。</w:t>
      </w:r>
      <w:r>
        <w:rPr>
          <w:rFonts w:hint="eastAsia" w:ascii="仿宋_GB2312" w:hAnsi="宋体" w:eastAsia="仿宋_GB2312"/>
          <w:b w:val="0"/>
          <w:bCs/>
          <w:sz w:val="32"/>
          <w:szCs w:val="32"/>
        </w:rPr>
        <w:cr/>
      </w:r>
      <w:r>
        <w:rPr>
          <w:rFonts w:hint="eastAsia" w:ascii="仿宋_GB2312" w:hAnsi="宋体" w:eastAsia="仿宋_GB2312"/>
          <w:b w:val="0"/>
          <w:bCs/>
          <w:sz w:val="32"/>
          <w:szCs w:val="32"/>
        </w:rPr>
        <w:t>　　（6）强化数据质量控制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积极参加国家总站、自治区总站组织的能力考核，进一步提升监测人员技术能力；积极参加国家总站、自治区总站和自治区、州质监系统举办的各类业务和岗位培训，进一步提高了监测人员的业务水平和操作技能。二是积极组织业务培训工作。通过集中举办内部培训、跟班培训等，进一步强化监测人员能力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（7）重视质量信息发布</w:t>
      </w:r>
      <w:r>
        <w:rPr>
          <w:rFonts w:hint="eastAsia" w:ascii="仿宋_GB2312" w:hAnsi="宋体" w:eastAsia="仿宋_GB2312"/>
          <w:b w:val="0"/>
          <w:bCs/>
          <w:sz w:val="32"/>
          <w:szCs w:val="32"/>
        </w:rPr>
        <w:cr/>
      </w:r>
      <w:r>
        <w:rPr>
          <w:rFonts w:hint="eastAsia" w:ascii="仿宋_GB2312" w:hAnsi="宋体" w:eastAsia="仿宋_GB2312"/>
          <w:b w:val="0"/>
          <w:bCs/>
          <w:sz w:val="32"/>
          <w:szCs w:val="32"/>
        </w:rPr>
        <w:t>　　我站特别重视环境质量的信息发布，为州委、州政府决策提供依据的同时，保障群众对生态现状和环境质量的知情权和参与权。一是组织技术骨干人员完成《克州“十三五”年环境质量报告书》编印工作，及时向自治区总站和克州生态环境局上报。二是通过平台，按时对外发布环境空气质量日报、月报，地表水水质季报，集中式饮用水水源地水质月报、季报。三是及时向自治区生态环境厅、自治区总站报送全州重点排污单位监测情况，并在克州生态环境局网站和重点排污单位信息公布平台公布重点污染源监测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（二人）决策过程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环境监测站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（2）收支管理：领导层是本单位收支业务管理的决策部门，负责审批单位收支业务等事项。涉及“三重一大”事项，根据《克州环境监测站集体决策制度》和《克州环境监测站项目管理办法》办理。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环境监测站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环境监测站合同管理办法》相关规定，克州环境监测站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497.12万元，项目支出安排资金59.16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本单位2021年度项目支出59.16万元，涉及项目数量2个，其中：重点项目支出55万元，涉及重点项目数量1个，重点项目支出与部门项目总支出的比率为92.97%。</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2021年度本单位年初批复部门预算资金总额为499.80万元，年中调增预算总额为56.48万元，调整后全年预算资金总额为556.28万元。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2021年度本单位部门整体支出资金总额为556.28万元，预算执行率为100%，预算调整率为</w:t>
      </w:r>
      <w:r>
        <w:rPr>
          <w:rFonts w:hint="eastAsia" w:ascii="仿宋_GB2312" w:hAnsi="宋体" w:eastAsia="仿宋_GB2312"/>
          <w:b w:val="0"/>
          <w:bCs/>
          <w:sz w:val="32"/>
          <w:szCs w:val="32"/>
          <w:lang w:val="en-US" w:eastAsia="zh-CN"/>
        </w:rPr>
        <w:t>11.30</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年初政府采购预算数为62.4万元，实际政府采购数为79.73万元，政府采购执行率为127.77%。</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7119190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717E985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为加强我单位预算管理、规范财务行为我单位制定了《克州环境监测站内部控制规范》《克州环境监测站项目管理规范》等资金管理制度，已建立制度均健全且有效运行。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2021年度我单位基本支出预算总额为497.12万元，其中人员经费473.87万元，公用经费23.25万元。实际执行总额为497.12万元，预算执行率100%。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2万元，比上年减少3.13万元，减少60.95%，主要原因是：按照厉行节约的要求，2021年缩减公务车运行维护费，因此支出随之减少。其中，因公出国（境）费支出0万元；公务用车购置及运行维护费支出2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与年初预算数相比情况：一般公共预算“三公”经费支出年初预算数13万元，预算执行数为2万元，执行率为15.38%，主要原因是：按照厉行节约的要求，2021年缩减公务车运行维护费，因此支出随之减少。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2021年度本单位项目支出预算总额为59.16万元，实际执行资金总额为59.16万元，预算执行率为100%。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2021年度预算安排本级财力资金59.16万元，实际支出资金59.16万元，预算执行率为100%，涉及项目个数2个，各项目详细执行情况如下：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环境监测业务经费项目:全年预算数为55万元，预算执行数为55万元，预算执行率为100%。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2020年环境监测业务经费项目:全年预算数为4.16万元，预算执行数为4.16万元，预算执行率为100%。</w:t>
      </w:r>
    </w:p>
    <w:p w14:paraId="54F5557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602B269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14:paraId="71725E7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5D797716">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本单位2021年初资产合计数为580.63万元，年末资产合计数为524.25万元。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截止本年度固定资产账面净值454.44万元，年末实际在用固定资产454.44万元，固定资产利用率为100%。</w:t>
      </w:r>
    </w:p>
    <w:p w14:paraId="1FEC18C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1D75659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部门单位整体支出共设置一级指标3个，二级指标7个，三级指标16个，其中已完成三级指标14个，指标完成率为87.5%。</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“保障人员人数”指标：预期指标值为=39人，实际完成指标值为39人，指标完成率为100%。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“保障车辆数”指标：预期指标值为=3辆，实际完成指标值为3辆，指标完成率为100%。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“噪声监测次数”指标：预期指标值为&gt;=12次，实际完成指标值为12次，指标完成率为100%。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“水质监测次数”指标：预期指标值为&gt;=12次，实际完成指标值为12次，指标完成率为100%。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“空气监测次数”指标：预期指标值为&gt;=365次，实际完成指标值为365次，指标完成率为100%。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“重点企业监测次数”指标：预期指标值为&gt;=10次，实际完成指标值为&gt;=10次，指标完成率为100%。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“水质达标率”指标：预期指标值为=100%，实际完成指标值为100%，指标完成率为100%。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“噪声达标率”指标：预期指标值为=100%，实际完成指标值为100%，指标完成率为100%。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“资金到位及时率”指标：预期指标值为=100%，实际完成指标值为100%，指标完成率为100%。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“人员经费”指标：预期指标值为=391.92万元，实际完成指标值为391.92万元，指标完成率为100%。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“公用经费”指标：预期指标值为=27.88万元，实际完成指标值为23.25万元，指标完成率为83.39%。偏差原因：2021年工会费及福利费未形成支出。改进措施：积极与办公室协调，加强工会费和福利费的使用效力。</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为=80万元，实际完成指标值为55万元，指标完成率为68.75%。偏差原因：年初做预算时，我单位按照以前年度自治区每年拨款25万元用于监测业务经费，计入年初预算的项目经费中。2021年未收到自治区的25万元拨款。改进措施：做好年初预算，积极与自治区沟通，尽量做到预算准确。</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“加强环境监测，确保环境安全”指标：预期指标值为有效加强，实际完成指标值为有效加强，指标完成率为100%。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“改善生态环境”指标：预期指标值为有效改善，实际完成指标值为有效改善，指标完成率为100%。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“群众对环境质量的满意度”指标：预期指标值为&gt;=95%，实际完成指标值为95%，指标完成率为100%。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p>
    <w:p w14:paraId="328BBEFC">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6F5A2DC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3A64B0E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604406C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ascii="黑体" w:hAnsi="黑体" w:eastAsia="黑体" w:cs="宋体"/>
          <w:b/>
          <w:bCs w:val="0"/>
          <w:color w:val="000000" w:themeColor="text1"/>
          <w:sz w:val="32"/>
          <w:szCs w:val="32"/>
          <w:lang w:bidi="ar"/>
          <w14:textFill>
            <w14:solidFill>
              <w14:schemeClr w14:val="tx1"/>
            </w14:solidFill>
          </w14:textFill>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358C1553"/>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44D33F4C"/>
    <w:rsid w:val="51C70EA9"/>
    <w:rsid w:val="54F842B6"/>
    <w:rsid w:val="58FF65D5"/>
    <w:rsid w:val="5E882DA3"/>
    <w:rsid w:val="64DE435B"/>
    <w:rsid w:val="656071F2"/>
    <w:rsid w:val="6BF1756B"/>
    <w:rsid w:val="6F5E1AA3"/>
    <w:rsid w:val="75D07F5D"/>
    <w:rsid w:val="7DB732B2"/>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9193</Words>
  <Characters>9747</Characters>
  <Lines>2</Lines>
  <Paragraphs>1</Paragraphs>
  <TotalTime>0</TotalTime>
  <ScaleCrop>false</ScaleCrop>
  <LinksUpToDate>false</LinksUpToDate>
  <CharactersWithSpaces>10011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2025-07-31T03:16:26Z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